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34F1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3234F1">
        <w:rPr>
          <w:rFonts w:ascii="Times New Roman" w:hAnsi="Times New Roman" w:cs="Times New Roman"/>
          <w:b/>
          <w:sz w:val="24"/>
          <w:szCs w:val="24"/>
        </w:rPr>
        <w:t>. Челябинск, пересечение ул. 40-летия Победы – ул. 250-летия Челябинска в Калининском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3234F1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3234F1">
        <w:rPr>
          <w:rFonts w:ascii="Times New Roman" w:hAnsi="Times New Roman" w:cs="Times New Roman"/>
          <w:b/>
          <w:sz w:val="24"/>
          <w:szCs w:val="24"/>
        </w:rPr>
        <w:t>киоск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3234F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3234F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3234F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3234F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3234F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3234F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5 117,28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3234F1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5 117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пять тысяч сто семнадцать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234F1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9E76EC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2018-01-29T06:06:00Z</dcterms:modified>
</cp:coreProperties>
</file>